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sz w:val="36"/>
          <w:szCs w:val="36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JOB DESCRIPTION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7305"/>
        <w:tblGridChange w:id="0">
          <w:tblGrid>
            <w:gridCol w:w="205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REGISTERED NURSE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  <w:rtl w:val="0"/>
              </w:rPr>
              <w:t xml:space="preserve">Reports 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[ INSERT NAME, TITLE] 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Registered Nurse at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is pivotal in providing top-tier nursing care to our patients. This role involves direct patient care, the application of medical expertise in a compassionate manner, and collaboration with a multidisciplinary health team to plan, implement, and evaluate patient treatment plans.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This role is also responsible for educating patients and their families on health-related issues and ensuring a seamless integration of health education programs within the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9d9d9" w:val="clear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Overall Responsibilities: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Assess patients to identify appropriate nursing interventions per established policies and protocols.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Collaborate with interdisciplinary health teams to plan, implement, coordinate, and evaluate patient care in consultation with patients and their families.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Administer medications and treatments as prescribed by a physician.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Monitor, assess, address, document, and report symptoms and changes in patients’ conditions.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Operate or monitor medical apparatus or equipment and assist in surgery and other medical procedures when necessary.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May supervise licensed practical nurses and other nursing staff.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Develop and implement discharge planning processes upon patient admission.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Teach and counsel patients and their families on health-related issues in collaboration with other healthcare providers.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Prepare and maintain records of client interactions and account status.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Notify of sharp declines in a patient’s condition, escalating as needed.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Additional related duties and responsibilities as assigned.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Completion of a university, college, or other approved registered nursing program.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Registration with the College of Nurses of Ontario with a current, valid license to practice nursing in Ontario.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years experience working in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[insert specialized area or setting e.g., community health, psychiatric nursing, occupational health, or geriatric].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understanding of nursing principles, health care protocols, and patient care.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Current first aid and CPR training.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Clinical expertise and knowledge of health care practices.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social perceptiveness and the ability to act with empathy and compassion.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coordinating skills to manage patient care effectively.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instruct patients and families on health management and post-treatment care.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High proficiency in monitoring patient health and responding to varying health conditions.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Effective time management and the management of personal resources.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Exceptional attention to detail.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interpersonal skills to interact effectively with a wide range of clients/patients with differing medical conditions.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Working Conditions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right="4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Overtime may be required to meet the needs of patient care.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right="4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hours may vary depending on shift schedules, typically ranging from early mornings to overnight shifts.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right="4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involve extended periods of standing or sitting, depending on the assigned unit.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720" w:right="44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involve lifting up to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pounds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720" w:right="4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position is subject to high pressure due to the critical nature of health outcomes, requiring the ability to work efficiently in a fast-paced environment.</w:t>
      </w:r>
    </w:p>
    <w:p w:rsidR="00000000" w:rsidDel="00000000" w:rsidP="00000000" w:rsidRDefault="00000000" w:rsidRPr="00000000" w14:paraId="00000037">
      <w:pPr>
        <w:spacing w:line="240" w:lineRule="auto"/>
        <w:ind w:right="446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/1ObNGtUAVGlUV8Az4by+6QWA==">CgMxLjAyCGguZ2pkZ3hzOAByITFSU3Z0clJScDBJcVVGYkhXdWp2VHE5ZktyTlotSVJybQ==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